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E5" w:rsidRDefault="003A0E2F" w:rsidP="00425FE5">
      <w:pPr>
        <w:jc w:val="right"/>
        <w:rPr>
          <w:rFonts w:ascii="Times New Roman" w:hAnsi="Times New Roman" w:cs="Times New Roman"/>
          <w:b/>
          <w:bCs/>
        </w:rPr>
      </w:pPr>
      <w:r>
        <w:rPr>
          <w:rFonts w:ascii="Times New Roman" w:hAnsi="Times New Roman" w:cs="Times New Roman"/>
          <w:b/>
          <w:bCs/>
        </w:rPr>
        <w:t xml:space="preserve">  </w:t>
      </w:r>
      <w:r w:rsidR="00425FE5">
        <w:rPr>
          <w:rFonts w:ascii="Times New Roman" w:hAnsi="Times New Roman" w:cs="Times New Roman"/>
          <w:b/>
          <w:bCs/>
        </w:rPr>
        <w:t>Załącznik nr 4 do PFU</w:t>
      </w:r>
    </w:p>
    <w:p w:rsidR="00A968F2" w:rsidRPr="00425FE5" w:rsidRDefault="00A03D25" w:rsidP="00425FE5">
      <w:pPr>
        <w:jc w:val="center"/>
        <w:rPr>
          <w:rFonts w:ascii="Times New Roman" w:hAnsi="Times New Roman" w:cs="Times New Roman"/>
          <w:b/>
          <w:bCs/>
        </w:rPr>
      </w:pPr>
      <w:r w:rsidRPr="00425FE5">
        <w:rPr>
          <w:rFonts w:ascii="Times New Roman" w:hAnsi="Times New Roman" w:cs="Times New Roman"/>
          <w:b/>
          <w:bCs/>
        </w:rPr>
        <w:t xml:space="preserve">Specyfikacja dla przełączników i </w:t>
      </w:r>
      <w:r w:rsidR="00425FE5">
        <w:rPr>
          <w:rFonts w:ascii="Times New Roman" w:hAnsi="Times New Roman" w:cs="Times New Roman"/>
          <w:b/>
          <w:bCs/>
        </w:rPr>
        <w:t>punktów dostępowych</w:t>
      </w:r>
    </w:p>
    <w:p w:rsidR="00A03D25" w:rsidRDefault="00A03D25" w:rsidP="00A03D25">
      <w:pPr>
        <w:rPr>
          <w:rFonts w:ascii="Times New Roman" w:hAnsi="Times New Roman" w:cs="Times New Roman"/>
          <w:bCs/>
        </w:rPr>
      </w:pPr>
    </w:p>
    <w:p w:rsidR="0002285C" w:rsidRPr="00A03D25" w:rsidRDefault="0002285C" w:rsidP="0002285C">
      <w:pPr>
        <w:jc w:val="both"/>
        <w:rPr>
          <w:rFonts w:ascii="Arial Narrow" w:hAnsi="Arial Narrow"/>
          <w:sz w:val="22"/>
          <w:szCs w:val="20"/>
        </w:rPr>
      </w:pPr>
      <w:r>
        <w:rPr>
          <w:rFonts w:ascii="Arial Narrow" w:hAnsi="Arial Narrow"/>
          <w:b/>
          <w:sz w:val="22"/>
          <w:szCs w:val="20"/>
        </w:rPr>
        <w:t>Punkt dostępowy wewnętrzny</w:t>
      </w:r>
      <w:r w:rsidRPr="00A03D25">
        <w:rPr>
          <w:rFonts w:ascii="Arial Narrow" w:hAnsi="Arial Narrow"/>
          <w:sz w:val="22"/>
          <w:szCs w:val="20"/>
        </w:rPr>
        <w:t xml:space="preserve"> </w:t>
      </w:r>
      <w:r>
        <w:rPr>
          <w:rFonts w:ascii="Arial Narrow" w:hAnsi="Arial Narrow"/>
          <w:b/>
          <w:sz w:val="22"/>
          <w:szCs w:val="20"/>
        </w:rPr>
        <w:t>– 1</w:t>
      </w:r>
      <w:r w:rsidRPr="00A03D25">
        <w:rPr>
          <w:rFonts w:ascii="Arial Narrow" w:hAnsi="Arial Narrow"/>
          <w:b/>
          <w:sz w:val="22"/>
          <w:szCs w:val="20"/>
        </w:rPr>
        <w:t xml:space="preserve"> </w:t>
      </w:r>
      <w:proofErr w:type="spellStart"/>
      <w:r w:rsidRPr="00A03D25">
        <w:rPr>
          <w:rFonts w:ascii="Arial Narrow" w:hAnsi="Arial Narrow"/>
          <w:b/>
          <w:sz w:val="22"/>
          <w:szCs w:val="20"/>
        </w:rPr>
        <w:t>kpl</w:t>
      </w:r>
      <w:proofErr w:type="spellEnd"/>
      <w:r w:rsidRPr="00A03D25">
        <w:rPr>
          <w:rFonts w:ascii="Arial Narrow" w:hAnsi="Arial Narrow"/>
          <w:sz w:val="22"/>
          <w:szCs w:val="20"/>
        </w:rPr>
        <w:t>. o następujących parametrach:</w:t>
      </w:r>
    </w:p>
    <w:p w:rsidR="0002285C" w:rsidRPr="0002285C" w:rsidRDefault="0002285C" w:rsidP="0002285C">
      <w:pPr>
        <w:pStyle w:val="Akapitzlist"/>
        <w:numPr>
          <w:ilvl w:val="1"/>
          <w:numId w:val="2"/>
        </w:numPr>
        <w:spacing w:after="0" w:line="240" w:lineRule="auto"/>
        <w:ind w:left="1208" w:hanging="357"/>
        <w:jc w:val="both"/>
        <w:rPr>
          <w:rFonts w:ascii="Arial Narrow" w:hAnsi="Arial Narrow"/>
          <w:sz w:val="20"/>
          <w:szCs w:val="20"/>
          <w:lang w:val="pl-PL"/>
        </w:rPr>
      </w:pPr>
      <w:r w:rsidRPr="0002285C">
        <w:rPr>
          <w:rFonts w:ascii="Arial Narrow" w:hAnsi="Arial Narrow"/>
          <w:sz w:val="20"/>
          <w:szCs w:val="20"/>
          <w:u w:val="single"/>
          <w:lang w:val="pl-PL"/>
        </w:rPr>
        <w:t>tryb pracy</w:t>
      </w:r>
      <w:r w:rsidRPr="0002285C">
        <w:rPr>
          <w:rFonts w:ascii="Arial Narrow" w:hAnsi="Arial Narrow"/>
          <w:sz w:val="20"/>
          <w:szCs w:val="20"/>
          <w:lang w:val="pl-PL"/>
        </w:rPr>
        <w:t>: urządzenie musi być tzw. cienkim (thin) punktem dostępowym, zarządzanym z poziomu kontrolera sieci bezprzewodowej. W celu zapewnienia spójności zarządzania i uzyskania wymaganego poziomu bezpieczeństwa, kontroler sieci bezprzewodowych ma być uruchomiony w obrębie urządzenia bezpieczeństwa gwarantującego ochronę dla obsługiwanych sieci wireless i przewodowych. Zamawiający posiada kontroler Fortinet Meru MC1550. W przypadku dostarczenia punktów dostępowych obsługiwanych przez kontroler Fortinet Meru, należy również dostarczyć licencje do obsługi punktów przez kontroler. W przypadku kiedy oferowane punkty dostępowe nie będą mogły być zarządzane przez posiadane urządzenie Fortinet Meru,  Wykonawca  w ramach tego zamówienia musi również dostarczyć urządzenie, realizujące funkcjonalność kontrolera sieci bezprzewodowych (dostarczony kontroler musi mieć możliwość przyłączenia większej liczby punktów dostępowych niż ilość dostarczona w ramach tego zamówienia).</w:t>
      </w:r>
    </w:p>
    <w:p w:rsidR="0002285C" w:rsidRPr="0002285C" w:rsidRDefault="0002285C" w:rsidP="0002285C">
      <w:pPr>
        <w:pStyle w:val="Akapitzlist"/>
        <w:numPr>
          <w:ilvl w:val="1"/>
          <w:numId w:val="2"/>
        </w:numPr>
        <w:spacing w:after="0" w:line="240" w:lineRule="auto"/>
        <w:ind w:left="1208" w:hanging="357"/>
        <w:jc w:val="both"/>
        <w:rPr>
          <w:rFonts w:ascii="Arial Narrow" w:hAnsi="Arial Narrow"/>
          <w:sz w:val="20"/>
          <w:szCs w:val="20"/>
          <w:lang w:val="pl-PL"/>
        </w:rPr>
      </w:pPr>
      <w:r w:rsidRPr="0002285C">
        <w:rPr>
          <w:rFonts w:ascii="Arial Narrow" w:hAnsi="Arial Narrow"/>
          <w:sz w:val="20"/>
          <w:szCs w:val="20"/>
          <w:u w:val="single"/>
          <w:lang w:val="pl-PL"/>
        </w:rPr>
        <w:t>moduł radiowy</w:t>
      </w:r>
      <w:r w:rsidRPr="0002285C">
        <w:rPr>
          <w:rFonts w:ascii="Arial Narrow" w:hAnsi="Arial Narrow"/>
          <w:sz w:val="20"/>
          <w:szCs w:val="20"/>
          <w:lang w:val="pl-PL"/>
        </w:rPr>
        <w:t>:  urządzenie  musi być wyposażone w dwa niezależne moduły radiowe pracujące  odpowiednio w pasmach: 5 GHz a/n  (do 300Mbps) i 2,4 GHz b/g/n oraz umożliwiać pracę zgodnie ze standardem IEEE 802.11ac (do 850 Mbps);</w:t>
      </w:r>
    </w:p>
    <w:p w:rsidR="0002285C" w:rsidRPr="006743A0" w:rsidRDefault="0002285C" w:rsidP="0002285C">
      <w:pPr>
        <w:ind w:left="1186"/>
        <w:rPr>
          <w:sz w:val="20"/>
          <w:szCs w:val="20"/>
        </w:rPr>
      </w:pPr>
      <w:r>
        <w:rPr>
          <w:rFonts w:ascii="Arial Narrow" w:hAnsi="Arial Narrow"/>
          <w:sz w:val="20"/>
          <w:szCs w:val="20"/>
        </w:rPr>
        <w:t>urządzenie m</w:t>
      </w:r>
      <w:r w:rsidRPr="006743A0">
        <w:rPr>
          <w:rFonts w:ascii="Arial Narrow" w:hAnsi="Arial Narrow"/>
          <w:sz w:val="20"/>
          <w:szCs w:val="20"/>
        </w:rPr>
        <w:t>usi pozwalać na</w:t>
      </w:r>
      <w:r>
        <w:rPr>
          <w:rFonts w:ascii="Arial Narrow" w:hAnsi="Arial Narrow"/>
          <w:sz w:val="20"/>
          <w:szCs w:val="20"/>
        </w:rPr>
        <w:t xml:space="preserve"> konfigurację i </w:t>
      </w:r>
      <w:r w:rsidRPr="006743A0">
        <w:rPr>
          <w:rFonts w:ascii="Arial Narrow" w:hAnsi="Arial Narrow"/>
          <w:sz w:val="20"/>
          <w:szCs w:val="20"/>
        </w:rPr>
        <w:t xml:space="preserve"> jednoczesne rozgłaszanie co najmniej 14 SSID</w:t>
      </w:r>
      <w:r>
        <w:rPr>
          <w:sz w:val="20"/>
          <w:szCs w:val="20"/>
        </w:rPr>
        <w:t>;</w:t>
      </w:r>
    </w:p>
    <w:p w:rsidR="0002285C" w:rsidRDefault="0002285C" w:rsidP="0002285C">
      <w:pPr>
        <w:ind w:left="1186"/>
        <w:rPr>
          <w:rFonts w:ascii="Arial Narrow" w:hAnsi="Arial Narrow"/>
          <w:sz w:val="20"/>
          <w:szCs w:val="20"/>
        </w:rPr>
      </w:pPr>
      <w:r>
        <w:rPr>
          <w:rFonts w:ascii="Arial Narrow" w:hAnsi="Arial Narrow"/>
          <w:sz w:val="20"/>
          <w:szCs w:val="20"/>
        </w:rPr>
        <w:t>w</w:t>
      </w:r>
      <w:r w:rsidRPr="006743A0">
        <w:rPr>
          <w:rFonts w:ascii="Arial Narrow" w:hAnsi="Arial Narrow"/>
          <w:sz w:val="20"/>
          <w:szCs w:val="20"/>
        </w:rPr>
        <w:t xml:space="preserve">ymagana moc nadawania min </w:t>
      </w:r>
      <w:r w:rsidRPr="008C4F49">
        <w:rPr>
          <w:rFonts w:ascii="Arial Narrow" w:hAnsi="Arial Narrow"/>
          <w:sz w:val="20"/>
          <w:szCs w:val="20"/>
        </w:rPr>
        <w:t>20</w:t>
      </w:r>
      <w:r w:rsidRPr="006743A0">
        <w:rPr>
          <w:rFonts w:ascii="Arial Narrow" w:hAnsi="Arial Narrow"/>
          <w:sz w:val="20"/>
          <w:szCs w:val="20"/>
        </w:rPr>
        <w:t>dBm.</w:t>
      </w:r>
    </w:p>
    <w:p w:rsidR="0002285C" w:rsidRDefault="0002285C" w:rsidP="0002285C">
      <w:pPr>
        <w:pStyle w:val="Akapitzlist"/>
        <w:numPr>
          <w:ilvl w:val="0"/>
          <w:numId w:val="3"/>
        </w:numPr>
        <w:spacing w:after="0" w:line="240" w:lineRule="auto"/>
        <w:ind w:left="1186" w:hanging="284"/>
        <w:jc w:val="both"/>
        <w:rPr>
          <w:rFonts w:ascii="Arial Narrow" w:hAnsi="Arial Narrow"/>
          <w:sz w:val="20"/>
          <w:szCs w:val="20"/>
        </w:rPr>
      </w:pPr>
      <w:proofErr w:type="spellStart"/>
      <w:r w:rsidRPr="00876648">
        <w:rPr>
          <w:rFonts w:ascii="Arial Narrow" w:hAnsi="Arial Narrow"/>
          <w:sz w:val="20"/>
          <w:szCs w:val="20"/>
          <w:u w:val="single"/>
        </w:rPr>
        <w:t>anteny</w:t>
      </w:r>
      <w:proofErr w:type="spellEnd"/>
      <w:r>
        <w:rPr>
          <w:rFonts w:ascii="Arial Narrow" w:hAnsi="Arial Narrow"/>
          <w:sz w:val="20"/>
          <w:szCs w:val="20"/>
        </w:rPr>
        <w:t xml:space="preserve">: minimum 4 </w:t>
      </w:r>
      <w:proofErr w:type="spellStart"/>
      <w:r>
        <w:rPr>
          <w:rFonts w:ascii="Arial Narrow" w:hAnsi="Arial Narrow"/>
          <w:sz w:val="20"/>
          <w:szCs w:val="20"/>
        </w:rPr>
        <w:t>wbudowane</w:t>
      </w:r>
      <w:proofErr w:type="spellEnd"/>
      <w:r>
        <w:rPr>
          <w:rFonts w:ascii="Arial Narrow" w:hAnsi="Arial Narrow"/>
          <w:sz w:val="20"/>
          <w:szCs w:val="20"/>
        </w:rPr>
        <w:t xml:space="preserve"> </w:t>
      </w:r>
      <w:proofErr w:type="spellStart"/>
      <w:r>
        <w:rPr>
          <w:rFonts w:ascii="Arial Narrow" w:hAnsi="Arial Narrow"/>
          <w:sz w:val="20"/>
          <w:szCs w:val="20"/>
        </w:rPr>
        <w:t>anteny</w:t>
      </w:r>
      <w:proofErr w:type="spellEnd"/>
      <w:r>
        <w:rPr>
          <w:rFonts w:ascii="Arial Narrow" w:hAnsi="Arial Narrow"/>
          <w:sz w:val="20"/>
          <w:szCs w:val="20"/>
        </w:rPr>
        <w:t>,</w:t>
      </w:r>
    </w:p>
    <w:p w:rsidR="0002285C" w:rsidRPr="008C4F49" w:rsidRDefault="0002285C" w:rsidP="0002285C">
      <w:pPr>
        <w:pStyle w:val="Akapitzlist"/>
        <w:numPr>
          <w:ilvl w:val="0"/>
          <w:numId w:val="3"/>
        </w:numPr>
        <w:spacing w:after="0" w:line="240" w:lineRule="auto"/>
        <w:ind w:left="1186" w:hanging="284"/>
        <w:jc w:val="both"/>
        <w:rPr>
          <w:rFonts w:ascii="Arial Narrow" w:hAnsi="Arial Narrow"/>
          <w:b/>
          <w:color w:val="FF0000"/>
          <w:sz w:val="20"/>
          <w:szCs w:val="20"/>
        </w:rPr>
      </w:pPr>
      <w:proofErr w:type="spellStart"/>
      <w:r w:rsidRPr="00876648">
        <w:rPr>
          <w:rFonts w:ascii="Arial Narrow" w:hAnsi="Arial Narrow"/>
          <w:sz w:val="20"/>
          <w:szCs w:val="20"/>
          <w:u w:val="single"/>
        </w:rPr>
        <w:t>interfejsy</w:t>
      </w:r>
      <w:proofErr w:type="spellEnd"/>
      <w:r w:rsidRPr="00876648">
        <w:rPr>
          <w:rFonts w:ascii="Arial Narrow" w:hAnsi="Arial Narrow"/>
          <w:sz w:val="20"/>
          <w:szCs w:val="20"/>
        </w:rPr>
        <w:t xml:space="preserve">: minimum 1 </w:t>
      </w:r>
      <w:proofErr w:type="spellStart"/>
      <w:r w:rsidRPr="00876648">
        <w:rPr>
          <w:rFonts w:ascii="Arial Narrow" w:hAnsi="Arial Narrow"/>
          <w:sz w:val="20"/>
          <w:szCs w:val="20"/>
        </w:rPr>
        <w:t>interfejs</w:t>
      </w:r>
      <w:proofErr w:type="spellEnd"/>
      <w:r w:rsidRPr="00876648">
        <w:rPr>
          <w:rFonts w:ascii="Arial Narrow" w:hAnsi="Arial Narrow"/>
          <w:sz w:val="20"/>
          <w:szCs w:val="20"/>
        </w:rPr>
        <w:t xml:space="preserve"> w </w:t>
      </w:r>
      <w:proofErr w:type="spellStart"/>
      <w:r w:rsidRPr="00876648">
        <w:rPr>
          <w:rFonts w:ascii="Arial Narrow" w:hAnsi="Arial Narrow"/>
          <w:sz w:val="20"/>
          <w:szCs w:val="20"/>
        </w:rPr>
        <w:t>standardzie</w:t>
      </w:r>
      <w:proofErr w:type="spellEnd"/>
      <w:r w:rsidRPr="00876648">
        <w:rPr>
          <w:rFonts w:ascii="Arial Narrow" w:hAnsi="Arial Narrow"/>
          <w:sz w:val="20"/>
          <w:szCs w:val="20"/>
        </w:rPr>
        <w:t xml:space="preserve"> 10/100/1000 Base-TX</w:t>
      </w:r>
    </w:p>
    <w:p w:rsidR="0002285C" w:rsidRPr="0002285C" w:rsidRDefault="0002285C" w:rsidP="0002285C">
      <w:pPr>
        <w:pStyle w:val="Akapitzlist"/>
        <w:numPr>
          <w:ilvl w:val="0"/>
          <w:numId w:val="3"/>
        </w:numPr>
        <w:spacing w:after="0" w:line="240" w:lineRule="auto"/>
        <w:ind w:left="1186" w:hanging="284"/>
        <w:jc w:val="both"/>
        <w:rPr>
          <w:rFonts w:ascii="Arial Narrow" w:hAnsi="Arial Narrow"/>
          <w:sz w:val="20"/>
          <w:szCs w:val="20"/>
          <w:lang w:val="pl-PL"/>
        </w:rPr>
      </w:pPr>
      <w:r w:rsidRPr="0002285C">
        <w:rPr>
          <w:rFonts w:ascii="Arial Narrow" w:hAnsi="Arial Narrow"/>
          <w:sz w:val="20"/>
          <w:szCs w:val="20"/>
          <w:u w:val="single"/>
          <w:lang w:val="pl-PL"/>
        </w:rPr>
        <w:t>zasilanie</w:t>
      </w:r>
      <w:r w:rsidRPr="0002285C">
        <w:rPr>
          <w:rFonts w:ascii="Arial Narrow" w:hAnsi="Arial Narrow"/>
          <w:sz w:val="20"/>
          <w:szCs w:val="20"/>
          <w:lang w:val="pl-PL"/>
        </w:rPr>
        <w:t>: możliwość zasilania w standardzie PoE 802.3af,</w:t>
      </w:r>
    </w:p>
    <w:p w:rsidR="0002285C" w:rsidRPr="0002285C" w:rsidRDefault="0002285C" w:rsidP="0002285C">
      <w:pPr>
        <w:pStyle w:val="Akapitzlist"/>
        <w:numPr>
          <w:ilvl w:val="0"/>
          <w:numId w:val="3"/>
        </w:numPr>
        <w:spacing w:after="0" w:line="240" w:lineRule="auto"/>
        <w:ind w:left="1186" w:hanging="284"/>
        <w:jc w:val="both"/>
        <w:rPr>
          <w:rFonts w:ascii="Arial Narrow" w:hAnsi="Arial Narrow"/>
          <w:sz w:val="20"/>
          <w:szCs w:val="20"/>
          <w:lang w:val="pl-PL"/>
        </w:rPr>
      </w:pPr>
      <w:r w:rsidRPr="0002285C">
        <w:rPr>
          <w:rFonts w:ascii="Arial Narrow" w:hAnsi="Arial Narrow"/>
          <w:sz w:val="20"/>
          <w:szCs w:val="20"/>
          <w:u w:val="single"/>
          <w:lang w:val="pl-PL"/>
        </w:rPr>
        <w:t>obudowa</w:t>
      </w:r>
      <w:r w:rsidRPr="0002285C">
        <w:rPr>
          <w:rFonts w:ascii="Arial Narrow" w:hAnsi="Arial Narrow"/>
          <w:sz w:val="20"/>
          <w:szCs w:val="20"/>
          <w:lang w:val="pl-PL"/>
        </w:rPr>
        <w:t>: kompaktowa, z tworzywa sztucznego, przystosowana do montażu wewnątrz budynku na ścianie lub suficie, wskazane by urządzenie było podobne kształtem do urządzenia monitorującego, np. czujnik dymu.</w:t>
      </w:r>
    </w:p>
    <w:p w:rsidR="0002285C" w:rsidRDefault="0002285C" w:rsidP="0002285C">
      <w:pPr>
        <w:jc w:val="both"/>
        <w:rPr>
          <w:rFonts w:ascii="Arial Narrow" w:hAnsi="Arial Narrow"/>
          <w:sz w:val="20"/>
          <w:szCs w:val="20"/>
        </w:rPr>
      </w:pPr>
    </w:p>
    <w:p w:rsidR="0002285C" w:rsidRPr="00A03D25" w:rsidRDefault="0002285C" w:rsidP="0002285C">
      <w:pPr>
        <w:ind w:firstLine="708"/>
        <w:jc w:val="both"/>
        <w:rPr>
          <w:rFonts w:ascii="Arial Narrow" w:hAnsi="Arial Narrow"/>
          <w:sz w:val="22"/>
          <w:szCs w:val="20"/>
          <w:u w:val="single"/>
        </w:rPr>
      </w:pPr>
      <w:r w:rsidRPr="00A03D25">
        <w:rPr>
          <w:rFonts w:ascii="Arial Narrow" w:hAnsi="Arial Narrow"/>
          <w:sz w:val="22"/>
          <w:szCs w:val="20"/>
          <w:u w:val="single"/>
        </w:rPr>
        <w:t xml:space="preserve">Np. </w:t>
      </w:r>
      <w:proofErr w:type="spellStart"/>
      <w:r>
        <w:rPr>
          <w:rFonts w:ascii="Arial Narrow" w:hAnsi="Arial Narrow"/>
          <w:sz w:val="22"/>
          <w:szCs w:val="20"/>
          <w:u w:val="single"/>
        </w:rPr>
        <w:t>Fortinet</w:t>
      </w:r>
      <w:proofErr w:type="spellEnd"/>
      <w:r>
        <w:rPr>
          <w:rFonts w:ascii="Arial Narrow" w:hAnsi="Arial Narrow"/>
          <w:sz w:val="22"/>
          <w:szCs w:val="20"/>
          <w:u w:val="single"/>
        </w:rPr>
        <w:t xml:space="preserve"> Meru AP822i</w:t>
      </w:r>
      <w:r w:rsidRPr="00A03D25">
        <w:rPr>
          <w:rFonts w:ascii="Arial Narrow" w:hAnsi="Arial Narrow"/>
          <w:sz w:val="22"/>
          <w:szCs w:val="20"/>
          <w:u w:val="single"/>
        </w:rPr>
        <w:t xml:space="preserve"> lub równoważny spełniający powyższe wymagania</w:t>
      </w:r>
    </w:p>
    <w:p w:rsidR="0002285C" w:rsidRDefault="0002285C" w:rsidP="0002285C">
      <w:pPr>
        <w:rPr>
          <w:rFonts w:ascii="Times New Roman" w:hAnsi="Times New Roman" w:cs="Times New Roman"/>
          <w:bCs/>
        </w:rPr>
      </w:pPr>
    </w:p>
    <w:p w:rsidR="0002285C" w:rsidRPr="00960BCD" w:rsidRDefault="0002285C" w:rsidP="0002285C">
      <w:pPr>
        <w:pStyle w:val="Zwykytekst"/>
        <w:jc w:val="both"/>
        <w:rPr>
          <w:rFonts w:ascii="Arial Narrow" w:hAnsi="Arial Narrow" w:cs="Arial"/>
        </w:rPr>
      </w:pPr>
    </w:p>
    <w:p w:rsidR="0002285C" w:rsidRPr="00960BCD" w:rsidRDefault="0002285C" w:rsidP="0002285C">
      <w:pPr>
        <w:pStyle w:val="Akapitzlist"/>
        <w:numPr>
          <w:ilvl w:val="0"/>
          <w:numId w:val="4"/>
        </w:numPr>
        <w:spacing w:after="0" w:line="240" w:lineRule="auto"/>
        <w:contextualSpacing w:val="0"/>
        <w:jc w:val="both"/>
        <w:rPr>
          <w:rFonts w:ascii="Arial Narrow" w:hAnsi="Arial Narrow" w:cs="Arial"/>
          <w:b/>
          <w:vanish/>
          <w:sz w:val="20"/>
          <w:szCs w:val="20"/>
          <w:lang w:eastAsia="pl-PL"/>
        </w:rPr>
      </w:pPr>
    </w:p>
    <w:p w:rsidR="0002285C" w:rsidRPr="00960BCD" w:rsidRDefault="0002285C" w:rsidP="0002285C">
      <w:pPr>
        <w:pStyle w:val="Akapitzlist"/>
        <w:numPr>
          <w:ilvl w:val="0"/>
          <w:numId w:val="4"/>
        </w:numPr>
        <w:spacing w:after="0" w:line="240" w:lineRule="auto"/>
        <w:contextualSpacing w:val="0"/>
        <w:jc w:val="both"/>
        <w:rPr>
          <w:rFonts w:ascii="Arial Narrow" w:hAnsi="Arial Narrow" w:cs="Arial"/>
          <w:b/>
          <w:vanish/>
          <w:sz w:val="20"/>
          <w:szCs w:val="20"/>
          <w:lang w:eastAsia="pl-PL"/>
        </w:rPr>
      </w:pPr>
    </w:p>
    <w:p w:rsidR="0002285C" w:rsidRPr="00960BCD" w:rsidRDefault="0002285C" w:rsidP="0002285C">
      <w:pPr>
        <w:pStyle w:val="Akapitzlist"/>
        <w:numPr>
          <w:ilvl w:val="1"/>
          <w:numId w:val="4"/>
        </w:numPr>
        <w:spacing w:after="0" w:line="240" w:lineRule="auto"/>
        <w:contextualSpacing w:val="0"/>
        <w:jc w:val="both"/>
        <w:rPr>
          <w:rFonts w:ascii="Arial Narrow" w:hAnsi="Arial Narrow" w:cs="Arial"/>
          <w:b/>
          <w:vanish/>
          <w:sz w:val="20"/>
          <w:szCs w:val="20"/>
          <w:lang w:eastAsia="pl-PL"/>
        </w:rPr>
      </w:pPr>
    </w:p>
    <w:p w:rsidR="0002285C" w:rsidRPr="00960BCD" w:rsidRDefault="0002285C" w:rsidP="0002285C">
      <w:pPr>
        <w:pStyle w:val="Akapitzlist"/>
        <w:numPr>
          <w:ilvl w:val="1"/>
          <w:numId w:val="4"/>
        </w:numPr>
        <w:spacing w:after="0" w:line="240" w:lineRule="auto"/>
        <w:contextualSpacing w:val="0"/>
        <w:jc w:val="both"/>
        <w:rPr>
          <w:rFonts w:ascii="Arial Narrow" w:hAnsi="Arial Narrow" w:cs="Arial"/>
          <w:b/>
          <w:vanish/>
          <w:sz w:val="20"/>
          <w:szCs w:val="20"/>
          <w:lang w:eastAsia="pl-PL"/>
        </w:rPr>
      </w:pPr>
    </w:p>
    <w:p w:rsidR="0002285C" w:rsidRPr="00960BCD" w:rsidRDefault="0002285C" w:rsidP="0002285C">
      <w:pPr>
        <w:pStyle w:val="Akapitzlist"/>
        <w:numPr>
          <w:ilvl w:val="1"/>
          <w:numId w:val="4"/>
        </w:numPr>
        <w:spacing w:after="0" w:line="240" w:lineRule="auto"/>
        <w:contextualSpacing w:val="0"/>
        <w:jc w:val="both"/>
        <w:rPr>
          <w:rFonts w:ascii="Arial Narrow" w:hAnsi="Arial Narrow" w:cs="Arial"/>
          <w:b/>
          <w:vanish/>
          <w:sz w:val="20"/>
          <w:szCs w:val="20"/>
          <w:lang w:eastAsia="pl-PL"/>
        </w:rPr>
      </w:pPr>
    </w:p>
    <w:p w:rsidR="0002285C" w:rsidRPr="00960BCD" w:rsidRDefault="0002285C" w:rsidP="0002285C">
      <w:pPr>
        <w:pStyle w:val="Akapitzlist"/>
        <w:numPr>
          <w:ilvl w:val="2"/>
          <w:numId w:val="4"/>
        </w:numPr>
        <w:spacing w:after="0" w:line="240" w:lineRule="auto"/>
        <w:contextualSpacing w:val="0"/>
        <w:jc w:val="both"/>
        <w:rPr>
          <w:rFonts w:ascii="Arial Narrow" w:hAnsi="Arial Narrow" w:cs="Arial"/>
          <w:b/>
          <w:vanish/>
          <w:sz w:val="20"/>
          <w:szCs w:val="20"/>
          <w:lang w:eastAsia="pl-PL"/>
        </w:rPr>
      </w:pPr>
    </w:p>
    <w:p w:rsidR="0002285C" w:rsidRPr="00A03D25" w:rsidRDefault="0002285C" w:rsidP="0002285C">
      <w:pPr>
        <w:pStyle w:val="Zwykytekst"/>
        <w:jc w:val="both"/>
        <w:rPr>
          <w:rFonts w:ascii="Arial Narrow" w:hAnsi="Arial Narrow" w:cs="Arial"/>
          <w:b/>
          <w:sz w:val="22"/>
        </w:rPr>
      </w:pPr>
      <w:r w:rsidRPr="00A03D25">
        <w:rPr>
          <w:rFonts w:ascii="Arial Narrow" w:hAnsi="Arial Narrow" w:cs="Arial"/>
          <w:b/>
          <w:sz w:val="22"/>
        </w:rPr>
        <w:t xml:space="preserve">Przełącznik </w:t>
      </w:r>
      <w:proofErr w:type="spellStart"/>
      <w:r w:rsidRPr="00A03D25">
        <w:rPr>
          <w:rFonts w:ascii="Arial Narrow" w:hAnsi="Arial Narrow" w:cs="Arial"/>
          <w:b/>
          <w:sz w:val="22"/>
        </w:rPr>
        <w:t>ethernetowy</w:t>
      </w:r>
      <w:proofErr w:type="spellEnd"/>
      <w:r w:rsidRPr="00A03D25">
        <w:rPr>
          <w:rFonts w:ascii="Arial Narrow" w:hAnsi="Arial Narrow" w:cs="Arial"/>
          <w:b/>
          <w:sz w:val="22"/>
        </w:rPr>
        <w:t xml:space="preserve"> o s</w:t>
      </w:r>
      <w:r>
        <w:rPr>
          <w:rFonts w:ascii="Arial Narrow" w:hAnsi="Arial Narrow" w:cs="Arial"/>
          <w:b/>
          <w:sz w:val="22"/>
        </w:rPr>
        <w:t>tałej konfiguracji 48 portów – 1</w:t>
      </w:r>
      <w:r w:rsidRPr="00A03D25">
        <w:rPr>
          <w:rFonts w:ascii="Arial Narrow" w:hAnsi="Arial Narrow" w:cs="Arial"/>
          <w:b/>
          <w:sz w:val="22"/>
        </w:rPr>
        <w:t xml:space="preserve"> </w:t>
      </w:r>
      <w:proofErr w:type="spellStart"/>
      <w:r w:rsidRPr="00A03D25">
        <w:rPr>
          <w:rFonts w:ascii="Arial Narrow" w:hAnsi="Arial Narrow" w:cs="Arial"/>
          <w:b/>
          <w:sz w:val="22"/>
        </w:rPr>
        <w:t>kpl</w:t>
      </w:r>
      <w:proofErr w:type="spellEnd"/>
      <w:r w:rsidRPr="00A03D25">
        <w:rPr>
          <w:rFonts w:ascii="Arial Narrow" w:hAnsi="Arial Narrow" w:cs="Arial"/>
          <w:b/>
          <w:sz w:val="22"/>
        </w:rPr>
        <w:t xml:space="preserve">. oraz </w:t>
      </w:r>
      <w:proofErr w:type="spellStart"/>
      <w:r w:rsidRPr="00A03D25">
        <w:rPr>
          <w:rFonts w:ascii="Arial Narrow" w:hAnsi="Arial Narrow" w:cs="Arial"/>
          <w:b/>
          <w:sz w:val="22"/>
        </w:rPr>
        <w:t>pa</w:t>
      </w:r>
      <w:r>
        <w:rPr>
          <w:rFonts w:ascii="Arial Narrow" w:hAnsi="Arial Narrow" w:cs="Arial"/>
          <w:b/>
          <w:sz w:val="22"/>
        </w:rPr>
        <w:t>tchcordy</w:t>
      </w:r>
      <w:proofErr w:type="spellEnd"/>
      <w:r>
        <w:rPr>
          <w:rFonts w:ascii="Arial Narrow" w:hAnsi="Arial Narrow" w:cs="Arial"/>
          <w:b/>
          <w:sz w:val="22"/>
        </w:rPr>
        <w:t xml:space="preserve"> UTP kat. 6 dług. 1m – </w:t>
      </w:r>
      <w:r w:rsidRPr="00A03D25">
        <w:rPr>
          <w:rFonts w:ascii="Arial Narrow" w:hAnsi="Arial Narrow" w:cs="Arial"/>
          <w:b/>
          <w:sz w:val="22"/>
        </w:rPr>
        <w:t xml:space="preserve">50 </w:t>
      </w:r>
      <w:proofErr w:type="spellStart"/>
      <w:r w:rsidRPr="00A03D25">
        <w:rPr>
          <w:rFonts w:ascii="Arial Narrow" w:hAnsi="Arial Narrow" w:cs="Arial"/>
          <w:b/>
          <w:sz w:val="22"/>
        </w:rPr>
        <w:t>szt</w:t>
      </w:r>
      <w:proofErr w:type="spellEnd"/>
      <w:r w:rsidRPr="00A03D25">
        <w:rPr>
          <w:rFonts w:ascii="Arial Narrow" w:hAnsi="Arial Narrow" w:cs="Arial"/>
          <w:b/>
          <w:sz w:val="22"/>
        </w:rPr>
        <w:t xml:space="preserve">: </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Przełącznik musi być dedykowanym urządzeniem sieciowym o wysokości 1U przystosowanym do montowania w szafie </w:t>
      </w:r>
      <w:proofErr w:type="spellStart"/>
      <w:r w:rsidRPr="00960BCD">
        <w:rPr>
          <w:rFonts w:ascii="Arial Narrow" w:hAnsi="Arial Narrow" w:cs="Arial"/>
        </w:rPr>
        <w:t>rack</w:t>
      </w:r>
      <w:proofErr w:type="spellEnd"/>
      <w:r w:rsidRPr="00960BCD">
        <w:rPr>
          <w:rFonts w:ascii="Arial Narrow" w:hAnsi="Arial Narrow" w:cs="Arial"/>
        </w:rPr>
        <w:t>.</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posiadać 48 portów dostępowych Ethernet 10/100/1000 Auto-MDI/MDIX.</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Przełącznik </w:t>
      </w:r>
      <w:r w:rsidRPr="00960BCD">
        <w:rPr>
          <w:rFonts w:ascii="Arial Narrow" w:hAnsi="Arial Narrow" w:cs="Arial"/>
          <w:bCs/>
        </w:rPr>
        <w:t>musi</w:t>
      </w:r>
      <w:r w:rsidRPr="00960BCD">
        <w:rPr>
          <w:rFonts w:ascii="Arial Narrow" w:hAnsi="Arial Narrow" w:cs="Arial"/>
        </w:rPr>
        <w:t xml:space="preserve"> </w:t>
      </w:r>
      <w:r w:rsidRPr="00960BCD">
        <w:rPr>
          <w:rFonts w:ascii="Arial Narrow" w:hAnsi="Arial Narrow" w:cs="Arial"/>
          <w:bCs/>
        </w:rPr>
        <w:t>być wyposażony</w:t>
      </w:r>
      <w:r w:rsidRPr="00960BCD">
        <w:rPr>
          <w:rFonts w:ascii="Arial Narrow" w:hAnsi="Arial Narrow" w:cs="Arial"/>
        </w:rPr>
        <w:t xml:space="preserve"> w nie mniej niż 4 wbudowane porty </w:t>
      </w:r>
      <w:proofErr w:type="spellStart"/>
      <w:r w:rsidRPr="00960BCD">
        <w:rPr>
          <w:rFonts w:ascii="Arial Narrow" w:hAnsi="Arial Narrow" w:cs="Arial"/>
        </w:rPr>
        <w:t>uplink</w:t>
      </w:r>
      <w:proofErr w:type="spellEnd"/>
      <w:r w:rsidRPr="00960BCD">
        <w:rPr>
          <w:rFonts w:ascii="Arial Narrow" w:hAnsi="Arial Narrow" w:cs="Arial"/>
        </w:rPr>
        <w:t xml:space="preserve"> Gigabit Ethernet  SFP– (obsługiwane co najmniej TX, SX, LX, LH, a także FX, BX-U i BX-D). </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posiadać zasilacz AC oraz wentylator. Musi istnieć możliwość podłączenia zewnętrznego redundantnego źródła zasilania.</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Przełącznik musi być wyposażony w port konsoli oraz dedykowany interfejs Ethernet do zarządzania OOB (out-of-band). </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być wyposażony w nie mniej niż 1 GB pamięci Flash oraz 512 MB pamięci DRAM. Przełącznik musi posiadać slot USB pozwalający na podłączenie zewnętrznego nośnika danych. Przełącznik musi umożliwiać uruchomienie systemu operacyjnego z zewnętrznego nośnika danych umieszczonego w slocie USB.</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Zarządzanie urządzeniem musi odbywać się za pośrednictwem interfejsu linii komend (CLI) przez port konsoli, telnet, </w:t>
      </w:r>
      <w:proofErr w:type="spellStart"/>
      <w:r w:rsidRPr="00960BCD">
        <w:rPr>
          <w:rFonts w:ascii="Arial Narrow" w:hAnsi="Arial Narrow" w:cs="Arial"/>
        </w:rPr>
        <w:t>ssh</w:t>
      </w:r>
      <w:proofErr w:type="spellEnd"/>
      <w:r w:rsidRPr="00960BCD">
        <w:rPr>
          <w:rFonts w:ascii="Arial Narrow" w:hAnsi="Arial Narrow" w:cs="Arial"/>
        </w:rPr>
        <w:t>, a także za pośrednictwem interfejsu WWW.</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posiadać architekturę non-</w:t>
      </w:r>
      <w:proofErr w:type="spellStart"/>
      <w:r w:rsidRPr="00960BCD">
        <w:rPr>
          <w:rFonts w:ascii="Arial Narrow" w:hAnsi="Arial Narrow" w:cs="Arial"/>
        </w:rPr>
        <w:t>blocking</w:t>
      </w:r>
      <w:proofErr w:type="spellEnd"/>
      <w:r w:rsidRPr="00960BCD">
        <w:rPr>
          <w:rFonts w:ascii="Arial Narrow" w:hAnsi="Arial Narrow" w:cs="Arial"/>
        </w:rPr>
        <w:t xml:space="preserve">. Wydajność przełączania w warstwie 2 nie może być niższa niż 104 </w:t>
      </w:r>
      <w:proofErr w:type="spellStart"/>
      <w:r w:rsidRPr="00960BCD">
        <w:rPr>
          <w:rFonts w:ascii="Arial Narrow" w:hAnsi="Arial Narrow" w:cs="Arial"/>
        </w:rPr>
        <w:t>Gb</w:t>
      </w:r>
      <w:proofErr w:type="spellEnd"/>
      <w:r w:rsidRPr="00960BCD">
        <w:rPr>
          <w:rFonts w:ascii="Arial Narrow" w:hAnsi="Arial Narrow" w:cs="Arial"/>
        </w:rPr>
        <w:t>/s i 77 milionów pakietów na sekundę. Przełącznik nie może obsługiwać mniej niż 16 000 adresów MAC.</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obsługiwać ramki Jumbo (9216 bajtów).</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obsługiwać sieci VLAN zgodne z IEEE 802.1Q w ilości nie mniejszej niż 1024. Przełącznik musi obsługiwać sieci VLAN oparte o porty fizyczne (port-</w:t>
      </w:r>
      <w:proofErr w:type="spellStart"/>
      <w:r w:rsidRPr="00960BCD">
        <w:rPr>
          <w:rFonts w:ascii="Arial Narrow" w:hAnsi="Arial Narrow" w:cs="Arial"/>
        </w:rPr>
        <w:t>based</w:t>
      </w:r>
      <w:proofErr w:type="spellEnd"/>
      <w:r w:rsidRPr="00960BCD">
        <w:rPr>
          <w:rFonts w:ascii="Arial Narrow" w:hAnsi="Arial Narrow" w:cs="Arial"/>
        </w:rPr>
        <w:t>) i adresy MAC (MAC-</w:t>
      </w:r>
      <w:proofErr w:type="spellStart"/>
      <w:r w:rsidRPr="00960BCD">
        <w:rPr>
          <w:rFonts w:ascii="Arial Narrow" w:hAnsi="Arial Narrow" w:cs="Arial"/>
        </w:rPr>
        <w:t>based</w:t>
      </w:r>
      <w:proofErr w:type="spellEnd"/>
      <w:r w:rsidRPr="00960BCD">
        <w:rPr>
          <w:rFonts w:ascii="Arial Narrow" w:hAnsi="Arial Narrow" w:cs="Arial"/>
        </w:rPr>
        <w:t xml:space="preserve">). </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Urządzenie musi obsługiwać agregowanie połączeń zgodne z IEEE 802.3AD - nie mniej niż 32 grupy LAG, po nie mniej niż 8 portów. </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Przełącznik musi obsługiwać protokół </w:t>
      </w:r>
      <w:proofErr w:type="spellStart"/>
      <w:r w:rsidRPr="00960BCD">
        <w:rPr>
          <w:rFonts w:ascii="Arial Narrow" w:hAnsi="Arial Narrow" w:cs="Arial"/>
        </w:rPr>
        <w:t>Spanning</w:t>
      </w:r>
      <w:proofErr w:type="spellEnd"/>
      <w:r w:rsidRPr="00960BCD">
        <w:rPr>
          <w:rFonts w:ascii="Arial Narrow" w:hAnsi="Arial Narrow" w:cs="Arial"/>
        </w:rPr>
        <w:t xml:space="preserve"> </w:t>
      </w:r>
      <w:proofErr w:type="spellStart"/>
      <w:r w:rsidRPr="00960BCD">
        <w:rPr>
          <w:rFonts w:ascii="Arial Narrow" w:hAnsi="Arial Narrow" w:cs="Arial"/>
        </w:rPr>
        <w:t>Tree</w:t>
      </w:r>
      <w:proofErr w:type="spellEnd"/>
      <w:r w:rsidRPr="00960BCD">
        <w:rPr>
          <w:rFonts w:ascii="Arial Narrow" w:hAnsi="Arial Narrow" w:cs="Arial"/>
        </w:rPr>
        <w:t xml:space="preserve"> i </w:t>
      </w:r>
      <w:proofErr w:type="spellStart"/>
      <w:r w:rsidRPr="00960BCD">
        <w:rPr>
          <w:rFonts w:ascii="Arial Narrow" w:hAnsi="Arial Narrow" w:cs="Arial"/>
        </w:rPr>
        <w:t>Rapid</w:t>
      </w:r>
      <w:proofErr w:type="spellEnd"/>
      <w:r w:rsidRPr="00960BCD">
        <w:rPr>
          <w:rFonts w:ascii="Arial Narrow" w:hAnsi="Arial Narrow" w:cs="Arial"/>
        </w:rPr>
        <w:t xml:space="preserve"> </w:t>
      </w:r>
      <w:proofErr w:type="spellStart"/>
      <w:r w:rsidRPr="00960BCD">
        <w:rPr>
          <w:rFonts w:ascii="Arial Narrow" w:hAnsi="Arial Narrow" w:cs="Arial"/>
        </w:rPr>
        <w:t>Spannig</w:t>
      </w:r>
      <w:proofErr w:type="spellEnd"/>
      <w:r w:rsidRPr="00960BCD">
        <w:rPr>
          <w:rFonts w:ascii="Arial Narrow" w:hAnsi="Arial Narrow" w:cs="Arial"/>
        </w:rPr>
        <w:t xml:space="preserve"> </w:t>
      </w:r>
      <w:proofErr w:type="spellStart"/>
      <w:r w:rsidRPr="00960BCD">
        <w:rPr>
          <w:rFonts w:ascii="Arial Narrow" w:hAnsi="Arial Narrow" w:cs="Arial"/>
        </w:rPr>
        <w:t>Tree</w:t>
      </w:r>
      <w:proofErr w:type="spellEnd"/>
      <w:r w:rsidRPr="00960BCD">
        <w:rPr>
          <w:rFonts w:ascii="Arial Narrow" w:hAnsi="Arial Narrow" w:cs="Arial"/>
        </w:rPr>
        <w:t xml:space="preserve">, zgodnie z IEEE 802.1D-2004, a także </w:t>
      </w:r>
      <w:proofErr w:type="spellStart"/>
      <w:r w:rsidRPr="00960BCD">
        <w:rPr>
          <w:rFonts w:ascii="Arial Narrow" w:hAnsi="Arial Narrow" w:cs="Arial"/>
        </w:rPr>
        <w:t>Multiple</w:t>
      </w:r>
      <w:proofErr w:type="spellEnd"/>
      <w:r w:rsidRPr="00960BCD">
        <w:rPr>
          <w:rFonts w:ascii="Arial Narrow" w:hAnsi="Arial Narrow" w:cs="Arial"/>
        </w:rPr>
        <w:t xml:space="preserve"> </w:t>
      </w:r>
      <w:proofErr w:type="spellStart"/>
      <w:r w:rsidRPr="00960BCD">
        <w:rPr>
          <w:rFonts w:ascii="Arial Narrow" w:hAnsi="Arial Narrow" w:cs="Arial"/>
        </w:rPr>
        <w:t>Spanning</w:t>
      </w:r>
      <w:proofErr w:type="spellEnd"/>
      <w:r w:rsidRPr="00960BCD">
        <w:rPr>
          <w:rFonts w:ascii="Arial Narrow" w:hAnsi="Arial Narrow" w:cs="Arial"/>
        </w:rPr>
        <w:t xml:space="preserve"> </w:t>
      </w:r>
      <w:proofErr w:type="spellStart"/>
      <w:r w:rsidRPr="00960BCD">
        <w:rPr>
          <w:rFonts w:ascii="Arial Narrow" w:hAnsi="Arial Narrow" w:cs="Arial"/>
        </w:rPr>
        <w:t>Tree</w:t>
      </w:r>
      <w:proofErr w:type="spellEnd"/>
      <w:r w:rsidRPr="00960BCD">
        <w:rPr>
          <w:rFonts w:ascii="Arial Narrow" w:hAnsi="Arial Narrow" w:cs="Arial"/>
        </w:rPr>
        <w:t xml:space="preserve"> zgodnie z IEEE 802.1Q-2003 (nie mniej niż 64 instancje MSTP).</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obsługiwać protokół LLDP i LLDP-MED.</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Urządzenie musi obsługiwać r</w:t>
      </w:r>
      <w:r>
        <w:rPr>
          <w:rFonts w:ascii="Arial Narrow" w:hAnsi="Arial Narrow" w:cs="Arial"/>
        </w:rPr>
        <w:t>o</w:t>
      </w:r>
      <w:r w:rsidRPr="00960BCD">
        <w:rPr>
          <w:rFonts w:ascii="Arial Narrow" w:hAnsi="Arial Narrow" w:cs="Arial"/>
        </w:rPr>
        <w:t>uting między sieciami VLAN – r</w:t>
      </w:r>
      <w:r>
        <w:rPr>
          <w:rFonts w:ascii="Arial Narrow" w:hAnsi="Arial Narrow" w:cs="Arial"/>
        </w:rPr>
        <w:t>o</w:t>
      </w:r>
      <w:r w:rsidRPr="00960BCD">
        <w:rPr>
          <w:rFonts w:ascii="Arial Narrow" w:hAnsi="Arial Narrow" w:cs="Arial"/>
        </w:rPr>
        <w:t>uting statyczny, oraz protokół r</w:t>
      </w:r>
      <w:r>
        <w:rPr>
          <w:rFonts w:ascii="Arial Narrow" w:hAnsi="Arial Narrow" w:cs="Arial"/>
        </w:rPr>
        <w:t>o</w:t>
      </w:r>
      <w:r w:rsidRPr="00960BCD">
        <w:rPr>
          <w:rFonts w:ascii="Arial Narrow" w:hAnsi="Arial Narrow" w:cs="Arial"/>
        </w:rPr>
        <w:t xml:space="preserve">utingu dynamicznego RIP. Ilość tras obsługiwanych sprzętowo nie może być mniejsza niż 6 000. </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Urządzenie musi posiadać mechanizmy </w:t>
      </w:r>
      <w:proofErr w:type="spellStart"/>
      <w:r w:rsidRPr="00960BCD">
        <w:rPr>
          <w:rFonts w:ascii="Arial Narrow" w:hAnsi="Arial Narrow" w:cs="Arial"/>
        </w:rPr>
        <w:t>priorytetyzowania</w:t>
      </w:r>
      <w:proofErr w:type="spellEnd"/>
      <w:r w:rsidRPr="00960BCD">
        <w:rPr>
          <w:rFonts w:ascii="Arial Narrow" w:hAnsi="Arial Narrow" w:cs="Arial"/>
        </w:rPr>
        <w:t xml:space="preserve"> i zarządzania ruchem sieciowym (</w:t>
      </w:r>
      <w:proofErr w:type="spellStart"/>
      <w:r w:rsidRPr="00960BCD">
        <w:rPr>
          <w:rFonts w:ascii="Arial Narrow" w:hAnsi="Arial Narrow" w:cs="Arial"/>
        </w:rPr>
        <w:t>QoS</w:t>
      </w:r>
      <w:proofErr w:type="spellEnd"/>
      <w:r w:rsidRPr="00960BCD">
        <w:rPr>
          <w:rFonts w:ascii="Arial Narrow" w:hAnsi="Arial Narrow" w:cs="Arial"/>
        </w:rPr>
        <w:t xml:space="preserve">) w warstwie 2 i 3 dla ruchu wchodzącego i wychodzącego. Klasyfikacja ruchu musi odbywać się w zależności od co </w:t>
      </w:r>
      <w:r w:rsidRPr="00960BCD">
        <w:rPr>
          <w:rFonts w:ascii="Arial Narrow" w:hAnsi="Arial Narrow" w:cs="Arial"/>
        </w:rPr>
        <w:lastRenderedPageBreak/>
        <w:t xml:space="preserve">najmniej: interfejsu, typu ramki Ethernet, sieci VLAN, priorytetu w warstwie 2 (802.1P), adresów MAC, adresów IP, wartości pola </w:t>
      </w:r>
      <w:proofErr w:type="spellStart"/>
      <w:r w:rsidRPr="00960BCD">
        <w:rPr>
          <w:rFonts w:ascii="Arial Narrow" w:hAnsi="Arial Narrow" w:cs="Arial"/>
        </w:rPr>
        <w:t>ToS</w:t>
      </w:r>
      <w:proofErr w:type="spellEnd"/>
      <w:r w:rsidRPr="00960BCD">
        <w:rPr>
          <w:rFonts w:ascii="Arial Narrow" w:hAnsi="Arial Narrow" w:cs="Arial"/>
        </w:rPr>
        <w:t>/DSCP w nagłówkach IP, portów TCP i UDP. Urządzenie musi obsługiwać sprzętowo nie mniej niż 8 kolejek per port fizyczny.</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Urządzenie musi obsługiwać filtrowanie ruchu na poziomie co najmniej portu i sieci 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Przełącznik musi obsługiwać takie mechanizmu bezpieczeństwa jak limitowanie adresów MAC, </w:t>
      </w:r>
      <w:proofErr w:type="spellStart"/>
      <w:r w:rsidRPr="00960BCD">
        <w:rPr>
          <w:rFonts w:ascii="Arial Narrow" w:hAnsi="Arial Narrow" w:cs="Arial"/>
        </w:rPr>
        <w:t>Dynamic</w:t>
      </w:r>
      <w:proofErr w:type="spellEnd"/>
      <w:r w:rsidRPr="00960BCD">
        <w:rPr>
          <w:rFonts w:ascii="Arial Narrow" w:hAnsi="Arial Narrow" w:cs="Arial"/>
        </w:rPr>
        <w:t xml:space="preserve"> ARP </w:t>
      </w:r>
      <w:proofErr w:type="spellStart"/>
      <w:r w:rsidRPr="00960BCD">
        <w:rPr>
          <w:rFonts w:ascii="Arial Narrow" w:hAnsi="Arial Narrow" w:cs="Arial"/>
        </w:rPr>
        <w:t>Inspection</w:t>
      </w:r>
      <w:proofErr w:type="spellEnd"/>
      <w:r w:rsidRPr="00960BCD">
        <w:rPr>
          <w:rFonts w:ascii="Arial Narrow" w:hAnsi="Arial Narrow" w:cs="Arial"/>
        </w:rPr>
        <w:t xml:space="preserve">, DHCP </w:t>
      </w:r>
      <w:proofErr w:type="spellStart"/>
      <w:r w:rsidRPr="00960BCD">
        <w:rPr>
          <w:rFonts w:ascii="Arial Narrow" w:hAnsi="Arial Narrow" w:cs="Arial"/>
        </w:rPr>
        <w:t>snooping</w:t>
      </w:r>
      <w:proofErr w:type="spellEnd"/>
      <w:r w:rsidRPr="00960BCD">
        <w:rPr>
          <w:rFonts w:ascii="Arial Narrow" w:hAnsi="Arial Narrow" w:cs="Arial"/>
        </w:rPr>
        <w:t>.</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Urządzenie musi obsługiwać protokół SNMP (wersje 2c i 3), oraz grupy RMON 1, 2, 3, 9. Musi być dostępna funkcja kopiowania (mirroring) ruchu na poziomie portu i sieci VLAN.</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Urządzenie musi posiadać mechanizm szybkiego odtwarzania systemu i przywracania konfiguracji. W urządzeniu musi być przechowywanych nie mniej niż 40 poprzednich, kompletnych konfiguracji.</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Całość dostarczanego sprzętu i oprogramowania musi pochodzić z autoryzowanego </w:t>
      </w:r>
      <w:r w:rsidRPr="00960BCD">
        <w:rPr>
          <w:rFonts w:ascii="Arial Narrow" w:hAnsi="Arial Narrow" w:cs="Arial"/>
          <w:iCs/>
        </w:rPr>
        <w:t>przez producentów kanału sprzedaży, na terenie Unii Europejskiej</w:t>
      </w:r>
      <w:r w:rsidRPr="00960BCD">
        <w:rPr>
          <w:rFonts w:ascii="Arial Narrow" w:hAnsi="Arial Narrow" w:cs="Arial"/>
        </w:rPr>
        <w:t xml:space="preserve"> – do oferty należy dołączyć oświadczenie producenta lub autoryzowanego dystrybutora sprzętu i oprogramowania poświadczające pochodzenie sprzętu z autoryzowanego kanału sprzedaży.</w:t>
      </w:r>
    </w:p>
    <w:p w:rsidR="0002285C" w:rsidRPr="00960BCD"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Pomoc techniczna produktu musi być dostępna w Polsce. Usługi te świadczone być muszą w języku polskim.</w:t>
      </w:r>
    </w:p>
    <w:p w:rsidR="0002285C" w:rsidRPr="00960BCD" w:rsidRDefault="0002285C" w:rsidP="0002285C">
      <w:pPr>
        <w:pStyle w:val="Zwykytekst"/>
        <w:ind w:left="1134" w:hanging="284"/>
        <w:jc w:val="both"/>
        <w:rPr>
          <w:rFonts w:ascii="Arial Narrow" w:hAnsi="Arial Narrow" w:cs="Arial"/>
        </w:rPr>
      </w:pPr>
    </w:p>
    <w:p w:rsidR="0002285C" w:rsidRPr="00960BCD" w:rsidRDefault="0002285C" w:rsidP="0002285C">
      <w:pPr>
        <w:pStyle w:val="Zwykytekst"/>
        <w:numPr>
          <w:ilvl w:val="0"/>
          <w:numId w:val="5"/>
        </w:numPr>
        <w:ind w:left="1134"/>
        <w:jc w:val="both"/>
        <w:rPr>
          <w:rFonts w:ascii="Arial Narrow" w:hAnsi="Arial Narrow" w:cs="Arial"/>
        </w:rPr>
      </w:pPr>
      <w:r w:rsidRPr="00960BCD">
        <w:rPr>
          <w:rFonts w:ascii="Arial Narrow" w:hAnsi="Arial Narrow" w:cs="Arial"/>
        </w:rPr>
        <w:t>Serwis i gwarancja:</w:t>
      </w:r>
    </w:p>
    <w:p w:rsidR="0002285C" w:rsidRPr="00960BCD" w:rsidRDefault="0002285C" w:rsidP="0002285C">
      <w:pPr>
        <w:pStyle w:val="Zwykytekst"/>
        <w:numPr>
          <w:ilvl w:val="1"/>
          <w:numId w:val="5"/>
        </w:numPr>
        <w:ind w:left="1134"/>
        <w:jc w:val="both"/>
        <w:rPr>
          <w:rFonts w:ascii="Arial Narrow" w:hAnsi="Arial Narrow" w:cs="Arial"/>
        </w:rPr>
      </w:pPr>
      <w:r w:rsidRPr="00960BCD">
        <w:rPr>
          <w:rFonts w:ascii="Arial Narrow" w:hAnsi="Arial Narrow" w:cs="Arial"/>
        </w:rPr>
        <w:t>Wraz z urządzeniem wymagane jest dostarczenie opieki technicznej waż</w:t>
      </w:r>
      <w:r>
        <w:rPr>
          <w:rFonts w:ascii="Arial Narrow" w:hAnsi="Arial Narrow" w:cs="Arial"/>
        </w:rPr>
        <w:t>nej przez okres  minimum 1 roku</w:t>
      </w:r>
      <w:r w:rsidRPr="00960BCD">
        <w:rPr>
          <w:rFonts w:ascii="Arial Narrow" w:hAnsi="Arial Narrow" w:cs="Arial"/>
        </w:rPr>
        <w:t>. Opieka musi zawierać wsparcie techniczne świadczone (telefonicznie,  pocztą elektroniczną lub wizyta serwisanta) przez producenta oraz polskiego dystrybutora sprzętu, wymianę uszkodzonego sprzętu w ciągu 2 dni roboczych (bez ponoszenia kosztów przez Zamawiającego), dostęp do nowych wersji oprogramowania, a także dostęp do baz wiedzy, przewodników konfiguracyjnych i narzędzi diagnostycznych.</w:t>
      </w:r>
    </w:p>
    <w:p w:rsidR="0002285C" w:rsidRPr="00960BCD" w:rsidRDefault="0002285C" w:rsidP="0002285C">
      <w:pPr>
        <w:pStyle w:val="Zwykytekst"/>
        <w:ind w:left="1134"/>
        <w:jc w:val="both"/>
        <w:rPr>
          <w:rFonts w:ascii="Arial Narrow" w:hAnsi="Arial Narrow" w:cs="Arial"/>
        </w:rPr>
      </w:pPr>
      <w:r w:rsidRPr="00960BCD">
        <w:rPr>
          <w:rFonts w:ascii="Arial Narrow" w:hAnsi="Arial Narrow" w:cs="Arial"/>
        </w:rPr>
        <w:t>Czas reakcji na zgłoszony przez Z</w:t>
      </w:r>
      <w:r>
        <w:rPr>
          <w:rFonts w:ascii="Arial Narrow" w:hAnsi="Arial Narrow" w:cs="Arial"/>
        </w:rPr>
        <w:t>a</w:t>
      </w:r>
      <w:r w:rsidRPr="00960BCD">
        <w:rPr>
          <w:rFonts w:ascii="Arial Narrow" w:hAnsi="Arial Narrow" w:cs="Arial"/>
        </w:rPr>
        <w:t>mawiającego problem max. 8 godzin, liczonych od poniedziałku do piątku w godz. 7.30 – 15.30.</w:t>
      </w:r>
    </w:p>
    <w:p w:rsidR="0002285C" w:rsidRPr="00A03D25" w:rsidRDefault="0002285C" w:rsidP="0002285C">
      <w:pPr>
        <w:pStyle w:val="Zwykytekst"/>
        <w:numPr>
          <w:ilvl w:val="1"/>
          <w:numId w:val="5"/>
        </w:numPr>
        <w:ind w:left="1134"/>
        <w:jc w:val="both"/>
        <w:rPr>
          <w:rFonts w:ascii="Arial Narrow" w:hAnsi="Arial Narrow" w:cs="Arial"/>
        </w:rPr>
      </w:pPr>
      <w:r w:rsidRPr="00960BCD">
        <w:rPr>
          <w:rFonts w:ascii="Arial Narrow" w:hAnsi="Arial Narrow" w:cs="Arial"/>
        </w:rPr>
        <w:t>Urządzenia muszą posiadać dożywotnią ograniczoną gwarancję działającą przez min. 5 lat zapewniającą naprawę/wymianę urządzenia w przypadku awarii.</w:t>
      </w:r>
    </w:p>
    <w:p w:rsidR="0002285C" w:rsidRDefault="0002285C" w:rsidP="0002285C">
      <w:pPr>
        <w:pStyle w:val="Zwykytekst"/>
        <w:numPr>
          <w:ilvl w:val="0"/>
          <w:numId w:val="6"/>
        </w:numPr>
        <w:ind w:left="1134" w:hanging="284"/>
        <w:jc w:val="both"/>
        <w:rPr>
          <w:rFonts w:ascii="Arial Narrow" w:hAnsi="Arial Narrow" w:cs="Arial"/>
        </w:rPr>
      </w:pPr>
      <w:r w:rsidRPr="00960BCD">
        <w:rPr>
          <w:rFonts w:ascii="Arial Narrow" w:hAnsi="Arial Narrow" w:cs="Arial"/>
        </w:rPr>
        <w:t xml:space="preserve">Wszystkie oferowane przełączniki muszą być obsługiwane przez posiadany przez Zamawiającego system zarządzania </w:t>
      </w:r>
      <w:proofErr w:type="spellStart"/>
      <w:r w:rsidRPr="00960BCD">
        <w:rPr>
          <w:rFonts w:ascii="Arial Narrow" w:hAnsi="Arial Narrow" w:cs="Arial"/>
        </w:rPr>
        <w:t>Juniper</w:t>
      </w:r>
      <w:proofErr w:type="spellEnd"/>
      <w:r w:rsidRPr="00960BCD">
        <w:rPr>
          <w:rFonts w:ascii="Arial Narrow" w:hAnsi="Arial Narrow" w:cs="Arial"/>
        </w:rPr>
        <w:t xml:space="preserve"> Space z modułem Network </w:t>
      </w:r>
      <w:proofErr w:type="spellStart"/>
      <w:r w:rsidRPr="00960BCD">
        <w:rPr>
          <w:rFonts w:ascii="Arial Narrow" w:hAnsi="Arial Narrow" w:cs="Arial"/>
        </w:rPr>
        <w:t>Director</w:t>
      </w:r>
      <w:proofErr w:type="spellEnd"/>
      <w:r w:rsidRPr="00960BCD">
        <w:rPr>
          <w:rFonts w:ascii="Arial Narrow" w:hAnsi="Arial Narrow" w:cs="Arial"/>
        </w:rPr>
        <w:t>.</w:t>
      </w:r>
    </w:p>
    <w:p w:rsidR="0002285C" w:rsidRDefault="0002285C" w:rsidP="0002285C">
      <w:pPr>
        <w:pStyle w:val="Zwykytekst"/>
        <w:jc w:val="both"/>
        <w:rPr>
          <w:rFonts w:ascii="Arial Narrow" w:hAnsi="Arial Narrow" w:cs="Arial"/>
        </w:rPr>
      </w:pPr>
    </w:p>
    <w:p w:rsidR="0002285C" w:rsidRPr="00A03D25" w:rsidRDefault="0002285C" w:rsidP="0002285C">
      <w:pPr>
        <w:rPr>
          <w:rFonts w:ascii="Times New Roman" w:hAnsi="Times New Roman" w:cs="Times New Roman"/>
          <w:bCs/>
          <w:sz w:val="22"/>
        </w:rPr>
      </w:pPr>
      <w:r w:rsidRPr="00A03D25">
        <w:rPr>
          <w:rFonts w:ascii="Arial Narrow" w:hAnsi="Arial Narrow" w:cs="Arial"/>
          <w:sz w:val="22"/>
          <w:u w:val="single"/>
        </w:rPr>
        <w:t xml:space="preserve">np. </w:t>
      </w:r>
      <w:proofErr w:type="spellStart"/>
      <w:r w:rsidRPr="00A03D25">
        <w:rPr>
          <w:rFonts w:ascii="Arial Narrow" w:hAnsi="Arial Narrow" w:cs="Arial"/>
          <w:sz w:val="22"/>
          <w:u w:val="single"/>
        </w:rPr>
        <w:t>Juniper</w:t>
      </w:r>
      <w:proofErr w:type="spellEnd"/>
      <w:r w:rsidRPr="00A03D25">
        <w:rPr>
          <w:rFonts w:ascii="Arial Narrow" w:hAnsi="Arial Narrow" w:cs="Arial"/>
          <w:sz w:val="22"/>
          <w:u w:val="single"/>
        </w:rPr>
        <w:t xml:space="preserve"> EX2300-48T lub równoważny spełniający powyższe wymagania</w:t>
      </w:r>
    </w:p>
    <w:p w:rsidR="0002285C" w:rsidRDefault="0002285C" w:rsidP="0002285C"/>
    <w:p w:rsidR="000A4231" w:rsidRDefault="000A4231" w:rsidP="0002285C">
      <w:pPr>
        <w:jc w:val="both"/>
      </w:pPr>
      <w:bookmarkStart w:id="0" w:name="_GoBack"/>
      <w:bookmarkEnd w:id="0"/>
    </w:p>
    <w:sectPr w:rsidR="000A4231" w:rsidSect="00425FE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A5D"/>
    <w:multiLevelType w:val="hybridMultilevel"/>
    <w:tmpl w:val="B21EC224"/>
    <w:lvl w:ilvl="0" w:tplc="04150001">
      <w:start w:val="1"/>
      <w:numFmt w:val="bullet"/>
      <w:lvlText w:val=""/>
      <w:lvlJc w:val="left"/>
      <w:pPr>
        <w:ind w:left="1429" w:hanging="360"/>
      </w:pPr>
      <w:rPr>
        <w:rFonts w:ascii="Symbol" w:hAnsi="Symbol" w:hint="default"/>
      </w:rPr>
    </w:lvl>
    <w:lvl w:ilvl="1" w:tplc="2744D7B6">
      <w:start w:val="1"/>
      <w:numFmt w:val="bullet"/>
      <w:lvlText w:val="-"/>
      <w:lvlJc w:val="left"/>
      <w:pPr>
        <w:ind w:left="2149" w:hanging="360"/>
      </w:pPr>
      <w:rPr>
        <w:rFonts w:ascii="Arial" w:hAnsi="Aria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E4C6F5E"/>
    <w:multiLevelType w:val="hybridMultilevel"/>
    <w:tmpl w:val="720EF53E"/>
    <w:lvl w:ilvl="0" w:tplc="2744D7B6">
      <w:start w:val="1"/>
      <w:numFmt w:val="bullet"/>
      <w:lvlText w:val="-"/>
      <w:lvlJc w:val="left"/>
      <w:pPr>
        <w:ind w:left="4276" w:hanging="360"/>
      </w:pPr>
      <w:rPr>
        <w:rFonts w:ascii="Arial" w:hAnsi="Arial" w:hint="default"/>
        <w:sz w:val="20"/>
      </w:rPr>
    </w:lvl>
    <w:lvl w:ilvl="1" w:tplc="04150003">
      <w:start w:val="1"/>
      <w:numFmt w:val="bullet"/>
      <w:lvlText w:val="o"/>
      <w:lvlJc w:val="left"/>
      <w:pPr>
        <w:ind w:left="3567" w:hanging="360"/>
      </w:pPr>
      <w:rPr>
        <w:rFonts w:ascii="Courier New" w:hAnsi="Courier New" w:hint="default"/>
      </w:rPr>
    </w:lvl>
    <w:lvl w:ilvl="2" w:tplc="04150005">
      <w:start w:val="1"/>
      <w:numFmt w:val="bullet"/>
      <w:lvlText w:val=""/>
      <w:lvlJc w:val="left"/>
      <w:pPr>
        <w:ind w:left="4287" w:hanging="360"/>
      </w:pPr>
      <w:rPr>
        <w:rFonts w:ascii="Wingdings" w:hAnsi="Wingdings" w:hint="default"/>
      </w:rPr>
    </w:lvl>
    <w:lvl w:ilvl="3" w:tplc="2744D7B6">
      <w:start w:val="1"/>
      <w:numFmt w:val="bullet"/>
      <w:lvlText w:val="-"/>
      <w:lvlJc w:val="left"/>
      <w:pPr>
        <w:ind w:left="5007" w:hanging="360"/>
      </w:pPr>
      <w:rPr>
        <w:rFonts w:ascii="Arial" w:hAnsi="Arial" w:hint="default"/>
      </w:rPr>
    </w:lvl>
    <w:lvl w:ilvl="4" w:tplc="04150003" w:tentative="1">
      <w:start w:val="1"/>
      <w:numFmt w:val="bullet"/>
      <w:lvlText w:val="o"/>
      <w:lvlJc w:val="left"/>
      <w:pPr>
        <w:ind w:left="5727" w:hanging="360"/>
      </w:pPr>
      <w:rPr>
        <w:rFonts w:ascii="Courier New" w:hAnsi="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 w15:restartNumberingAfterBreak="0">
    <w:nsid w:val="31901367"/>
    <w:multiLevelType w:val="hybridMultilevel"/>
    <w:tmpl w:val="1E88988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25BF8"/>
    <w:multiLevelType w:val="hybridMultilevel"/>
    <w:tmpl w:val="B07298DA"/>
    <w:lvl w:ilvl="0" w:tplc="04150001">
      <w:start w:val="1"/>
      <w:numFmt w:val="bullet"/>
      <w:lvlText w:val=""/>
      <w:lvlJc w:val="left"/>
      <w:pPr>
        <w:ind w:left="2136" w:hanging="360"/>
      </w:pPr>
      <w:rPr>
        <w:rFonts w:ascii="Symbol" w:hAnsi="Symbol" w:hint="default"/>
      </w:rPr>
    </w:lvl>
    <w:lvl w:ilvl="1" w:tplc="0A6C1D4C">
      <w:start w:val="1"/>
      <w:numFmt w:val="bullet"/>
      <w:lvlText w:val="-"/>
      <w:lvlJc w:val="left"/>
      <w:pPr>
        <w:ind w:left="2856" w:hanging="360"/>
      </w:pPr>
      <w:rPr>
        <w:rFonts w:ascii="Courier New" w:hAnsi="Courier New" w:hint="default"/>
      </w:rPr>
    </w:lvl>
    <w:lvl w:ilvl="2" w:tplc="04150005">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 w15:restartNumberingAfterBreak="0">
    <w:nsid w:val="6CEF5B74"/>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36668E8"/>
    <w:multiLevelType w:val="hybridMultilevel"/>
    <w:tmpl w:val="C908F54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F2"/>
    <w:rsid w:val="0002285C"/>
    <w:rsid w:val="000618B8"/>
    <w:rsid w:val="000A4231"/>
    <w:rsid w:val="003A0E2F"/>
    <w:rsid w:val="00425FE5"/>
    <w:rsid w:val="0071509A"/>
    <w:rsid w:val="00852475"/>
    <w:rsid w:val="008A704C"/>
    <w:rsid w:val="008E3EC9"/>
    <w:rsid w:val="00A03D25"/>
    <w:rsid w:val="00A968F2"/>
    <w:rsid w:val="00B57CE1"/>
    <w:rsid w:val="00B81DF5"/>
    <w:rsid w:val="00D66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99B7-595B-4BD0-9751-E328E774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8F2"/>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03D25"/>
    <w:pPr>
      <w:widowControl/>
      <w:suppressAutoHyphens w:val="0"/>
      <w:spacing w:after="200" w:line="276" w:lineRule="auto"/>
      <w:ind w:left="720"/>
      <w:contextualSpacing/>
    </w:pPr>
    <w:rPr>
      <w:rFonts w:ascii="Calibri" w:eastAsia="Calibri" w:hAnsi="Calibri" w:cs="Times New Roman"/>
      <w:kern w:val="0"/>
      <w:sz w:val="22"/>
      <w:szCs w:val="22"/>
      <w:lang w:val="en-GB" w:eastAsia="en-US" w:bidi="ar-SA"/>
    </w:rPr>
  </w:style>
  <w:style w:type="paragraph" w:styleId="Zwykytekst">
    <w:name w:val="Plain Text"/>
    <w:basedOn w:val="Normalny"/>
    <w:link w:val="ZwykytekstZnak"/>
    <w:uiPriority w:val="99"/>
    <w:rsid w:val="00A03D25"/>
    <w:pPr>
      <w:widowControl/>
      <w:suppressAutoHyphens w:val="0"/>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A03D25"/>
    <w:rPr>
      <w:rFonts w:ascii="Courier New" w:eastAsia="Times New Roman" w:hAnsi="Courier New" w:cs="Courier New"/>
      <w:sz w:val="20"/>
      <w:szCs w:val="20"/>
      <w:lang w:eastAsia="pl-PL"/>
    </w:rPr>
  </w:style>
  <w:style w:type="table" w:styleId="Tabela-Siatka">
    <w:name w:val="Table Grid"/>
    <w:basedOn w:val="Standardowy"/>
    <w:uiPriority w:val="39"/>
    <w:rsid w:val="008E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Szulc  Marcin</dc:creator>
  <cp:keywords/>
  <dc:description/>
  <cp:lastModifiedBy>Lubocka Anna</cp:lastModifiedBy>
  <cp:revision>5</cp:revision>
  <dcterms:created xsi:type="dcterms:W3CDTF">2017-03-01T12:15:00Z</dcterms:created>
  <dcterms:modified xsi:type="dcterms:W3CDTF">2017-03-17T11:24:00Z</dcterms:modified>
</cp:coreProperties>
</file>